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方正小标宋简体" w:hAnsi="方正小标宋简体" w:eastAsia="方正小标宋简体" w:cs="方正小标宋简体"/>
          <w:spacing w:val="0"/>
          <w:w w:val="100"/>
          <w:lang w:val="en-US" w:eastAsia="zh-CN"/>
        </w:rPr>
      </w:pPr>
      <w:r>
        <w:rPr>
          <w:rFonts w:hint="eastAsia" w:ascii="方正小标宋简体" w:hAnsi="方正小标宋简体" w:eastAsia="方正小标宋简体" w:cs="方正小标宋简体"/>
          <w:spacing w:val="0"/>
          <w:w w:val="100"/>
        </w:rPr>
        <w:t>晋江市市场监督管理局</w:t>
      </w:r>
    </w:p>
    <w:p>
      <w:pPr>
        <w:pStyle w:val="2"/>
        <w:rPr>
          <w:rFonts w:hint="eastAsia" w:ascii="方正小标宋简体" w:hAnsi="方正小标宋简体" w:eastAsia="方正小标宋简体" w:cs="方正小标宋简体"/>
          <w:spacing w:val="0"/>
          <w:w w:val="100"/>
        </w:rPr>
      </w:pPr>
      <w:r>
        <w:rPr>
          <w:rFonts w:hint="eastAsia" w:ascii="方正小标宋简体" w:hAnsi="方正小标宋简体" w:eastAsia="方正小标宋简体" w:cs="方正小标宋简体"/>
          <w:spacing w:val="0"/>
          <w:w w:val="100"/>
        </w:rPr>
        <w:t>行政处罚决定书</w:t>
      </w:r>
    </w:p>
    <w:p>
      <w:pPr>
        <w:keepNext w:val="0"/>
        <w:keepLines w:val="0"/>
        <w:pageBreakBefore w:val="0"/>
        <w:widowControl/>
        <w:tabs>
          <w:tab w:val="left" w:pos="2725"/>
        </w:tabs>
        <w:kinsoku w:val="0"/>
        <w:wordWrap/>
        <w:overflowPunct/>
        <w:topLinePunct w:val="0"/>
        <w:autoSpaceDE w:val="0"/>
        <w:autoSpaceDN w:val="0"/>
        <w:bidi w:val="0"/>
        <w:adjustRightInd w:val="0"/>
        <w:snapToGrid w:val="0"/>
        <w:spacing w:before="157" w:beforeLines="50" w:after="157" w:afterLines="50" w:line="560" w:lineRule="exact"/>
        <w:jc w:val="center"/>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lang w:val="en-US" w:eastAsia="zh-CN"/>
        </w:rPr>
        <w:t>晋市监处罚〔2024〕19-108号</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当事人：</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晋江市西滨镇罗育珍口腔诊所</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主体资格证照名称：</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营业执照</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统一社会信用代码：</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92350582MABU1AN97L</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住所</w:t>
      </w:r>
      <w:r>
        <w:rPr>
          <w:rFonts w:hint="eastAsia" w:ascii="仿宋" w:hAnsi="仿宋" w:eastAsia="仿宋" w:cs="仿宋"/>
          <w:spacing w:val="0"/>
          <w:w w:val="100"/>
          <w:sz w:val="32"/>
          <w:szCs w:val="32"/>
          <w:lang w:val="en-US" w:eastAsia="zh-CN"/>
        </w:rPr>
        <w:t>（</w:t>
      </w:r>
      <w:r>
        <w:rPr>
          <w:rFonts w:hint="eastAsia" w:ascii="仿宋" w:hAnsi="仿宋" w:eastAsia="仿宋" w:cs="仿宋"/>
          <w:spacing w:val="0"/>
          <w:w w:val="100"/>
          <w:sz w:val="32"/>
          <w:szCs w:val="32"/>
        </w:rPr>
        <w:t>住址</w:t>
      </w:r>
      <w:r>
        <w:rPr>
          <w:rFonts w:hint="eastAsia" w:ascii="仿宋" w:hAnsi="仿宋" w:eastAsia="仿宋" w:cs="仿宋"/>
          <w:spacing w:val="0"/>
          <w:w w:val="100"/>
          <w:sz w:val="32"/>
          <w:szCs w:val="32"/>
          <w:lang w:eastAsia="zh-CN"/>
        </w:rPr>
        <w:t>）</w:t>
      </w:r>
      <w:r>
        <w:rPr>
          <w:rFonts w:hint="eastAsia" w:ascii="仿宋" w:hAnsi="仿宋" w:eastAsia="仿宋" w:cs="仿宋"/>
          <w:spacing w:val="0"/>
          <w:w w:val="100"/>
          <w:sz w:val="32"/>
          <w:szCs w:val="32"/>
        </w:rPr>
        <w:t>：</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福建省西滨镇海滨社区海滨街</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法定代表人</w:t>
      </w:r>
      <w:r>
        <w:rPr>
          <w:rFonts w:hint="eastAsia" w:ascii="仿宋" w:hAnsi="仿宋" w:eastAsia="仿宋" w:cs="仿宋"/>
          <w:spacing w:val="0"/>
          <w:w w:val="100"/>
          <w:sz w:val="32"/>
          <w:szCs w:val="32"/>
          <w:lang w:val="en-US" w:eastAsia="zh-CN"/>
        </w:rPr>
        <w:t>（</w:t>
      </w:r>
      <w:r>
        <w:rPr>
          <w:rFonts w:hint="eastAsia" w:ascii="仿宋" w:hAnsi="仿宋" w:eastAsia="仿宋" w:cs="仿宋"/>
          <w:spacing w:val="0"/>
          <w:w w:val="100"/>
          <w:sz w:val="32"/>
          <w:szCs w:val="32"/>
        </w:rPr>
        <w:t>负责人、经营者</w:t>
      </w:r>
      <w:r>
        <w:rPr>
          <w:rFonts w:hint="eastAsia" w:ascii="仿宋" w:hAnsi="仿宋" w:eastAsia="仿宋" w:cs="仿宋"/>
          <w:spacing w:val="0"/>
          <w:w w:val="100"/>
          <w:sz w:val="32"/>
          <w:szCs w:val="32"/>
          <w:lang w:eastAsia="zh-CN"/>
        </w:rPr>
        <w:t>）</w:t>
      </w:r>
      <w:r>
        <w:rPr>
          <w:rFonts w:hint="eastAsia" w:ascii="仿宋" w:hAnsi="仿宋" w:eastAsia="仿宋" w:cs="仿宋"/>
          <w:spacing w:val="0"/>
          <w:w w:val="100"/>
          <w:sz w:val="32"/>
          <w:szCs w:val="32"/>
        </w:rPr>
        <w:t>：</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罗育珍</w:t>
      </w:r>
      <w:r>
        <w:rPr>
          <w:rFonts w:ascii="仿宋" w:hAnsi="仿宋" w:eastAsia="仿宋" w:cs="仿宋"/>
          <w:sz w:val="32"/>
          <w:u w:val="single"/>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eastAsia="zh-CN"/>
        </w:rPr>
      </w:pPr>
      <w:r>
        <w:rPr>
          <w:rFonts w:hint="eastAsia" w:ascii="仿宋" w:hAnsi="仿宋" w:eastAsia="仿宋" w:cs="仿宋"/>
          <w:spacing w:val="0"/>
          <w:w w:val="100"/>
          <w:sz w:val="32"/>
          <w:szCs w:val="32"/>
          <w:u w:val="single"/>
          <w:lang w:eastAsia="zh-CN"/>
        </w:rPr>
        <w:t>2024年8月22日，我局西滨所执法人员着装整齐经出示证件表明身份说明来意后，依法对当事人位于晋江市西滨镇海滨街的经营场所进行检查，现场检查情况如下：1.店内悬挂有《营业执照</w:t>
      </w:r>
      <w:bookmarkStart w:id="2" w:name="_GoBack"/>
      <w:bookmarkEnd w:id="2"/>
      <w:r>
        <w:rPr>
          <w:rFonts w:hint="eastAsia" w:ascii="仿宋" w:hAnsi="仿宋" w:eastAsia="仿宋" w:cs="仿宋"/>
          <w:spacing w:val="0"/>
          <w:w w:val="100"/>
          <w:sz w:val="32"/>
          <w:szCs w:val="32"/>
          <w:u w:val="single"/>
          <w:lang w:eastAsia="zh-CN"/>
        </w:rPr>
        <w:t>》、《诊所备案信息表》、负责人罗育珍不在，由店长赖育山陪同检查；2.执法人员现场检查发现诊所内用于诊疗服务的两台口腔观察仪（产品名称：口腔观察仪，型号规格：HM368，生产企业：佛山市南海区和茂医疗器械有限公司，注册、生产地址：佛山市南海区狮山镇罗村联和美光工业区一号之二，产品备案号：粤禅械备20140009号，生产备案号：粤禅食药监械生产备20160026号，毛重：4.2±1KG，净重±3.8±1KG，体积：440×140×410MM，电源：AC100-240VA，频率：50/60Hz,功率：60VA，使用期限：5年，生产日期：2019年7月9日),均已过期；4.当事人赖育山现场无法提供上述两台口腔观察仪的进货票据、供应商的资质及进货查验记录等材料。我局执法人员经请示领导同意后对上述两台口腔观察仪进行扣押强制措施，并于2024年8月27日立案调查。</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eastAsia="zh-CN"/>
        </w:rPr>
      </w:pPr>
      <w:r>
        <w:rPr>
          <w:rFonts w:hint="eastAsia" w:ascii="仿宋" w:hAnsi="仿宋" w:eastAsia="仿宋" w:cs="仿宋"/>
          <w:spacing w:val="0"/>
          <w:w w:val="100"/>
          <w:sz w:val="32"/>
          <w:szCs w:val="32"/>
          <w:u w:val="single"/>
          <w:lang w:eastAsia="zh-CN"/>
        </w:rPr>
        <w:t>2024年8月23日，执法人员对该经营者罗育珍授权委托前来处理诊所使用过期的医疗器械及未履行进货查验记录制度一事的店长赖育山进行了询问调查，赖育山陈述了涉案事实情况，承认了诊所使用过期的医疗器械及未履行进货查验记录制的事实。</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none"/>
          <w:lang w:val="en-US" w:eastAsia="zh-CN"/>
        </w:rPr>
        <w:t>经查，</w:t>
      </w:r>
      <w:r>
        <w:rPr>
          <w:rFonts w:hint="eastAsia" w:ascii="仿宋" w:hAnsi="仿宋" w:eastAsia="仿宋" w:cs="仿宋"/>
          <w:spacing w:val="0"/>
          <w:w w:val="100"/>
          <w:sz w:val="32"/>
          <w:szCs w:val="32"/>
          <w:u w:val="single"/>
          <w:lang w:val="en-US" w:eastAsia="zh-CN"/>
        </w:rPr>
        <w:t>，当事人在持有合法有效《营业执照》、《诊所备案信息表》的情况下经营口腔诊所。当事人于2020年6月份向泉州市鲤城区华茂医疗器械有限公司购进两台口腔观察仪（产品名称：口腔观察仪，型号规格：HM368，生产企业：佛山市南海区和茂医疗器械有限公司，（注册、生产）地址：佛山市南海区狮山镇罗村联和美光工业区一号之二，产品备案号：粤禅械备20140009号，生产备案号：粤禅食药监械生产备20160026号，毛重：4.2±1KG，净重±3.8±1KG，体积：440×140×410MM，电源：AC100-240VA，频率：50/60Hz,功率：60VA，使用期限：5年，生产日期：2019年7月9日），用于当事人口腔诊疗服务。当事人在购进上述医疗器械时，未查验供货者的资质和医疗器械的合格证明文件及建立进货查验记录制度。</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lang w:val="en-US"/>
        </w:rPr>
      </w:pPr>
      <w:r>
        <w:rPr>
          <w:rFonts w:hint="eastAsia" w:ascii="仿宋" w:hAnsi="仿宋" w:eastAsia="仿宋" w:cs="仿宋"/>
          <w:spacing w:val="0"/>
          <w:w w:val="100"/>
          <w:sz w:val="32"/>
          <w:szCs w:val="32"/>
          <w:u w:val="single"/>
          <w:lang w:val="en-US" w:eastAsia="zh-CN"/>
        </w:rPr>
        <w:t>另查明，上述两台口腔观察仪已过期，截止2024年8月22日执法人员检查时还在使用。当事人从事口腔诊所经营，管理不到位，未认真落实医疗机构使用医疗器械相关规定，致使涉案口腔观察仪过期后仍继续使用。两台口腔观察仪购进价格1000元/台，合计2000元。据此认定，本案货值金额为2000元。</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上述事实，主要有以下证据证明：</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证据一：现场检查笔录，证明案件来源和当事人使用过期的医疗器械及未履行进货查验记录制的事实；</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证据二：询问笔录，来源于本局执法人员对当事人的询问，证明当事人使用过期的医疗器械及未履行进货查验记录制的事实；</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证据三：营业执照复印件，法人身份证复印件，被询问人身份证复印件，授权委托书、证明当事人身份及法定代表人的基本情况；</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证据四: 现场照片5张，证明本局执法人员依法对当事人经营场所检查并对涉案事实取证；</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以上证据由执法办案人员依法收集，并经当事人签名（捺印）确认质证，未提出异议，具有合法性、客观性，并于本案具有关联性，足以证明案件事实，我局可以作为认定案件事实依据。</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 xml:space="preserve"> 2024年9月9日，本局向当事人送达了《行政处罚告知书》(晋市监告字〔2024〕19-134号)，当事人在法定期限内未提出陈述和申辩意见。      </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none"/>
          <w:lang w:val="en-US" w:eastAsia="zh-CN"/>
        </w:rPr>
        <w:t>本局认为，</w:t>
      </w:r>
      <w:r>
        <w:rPr>
          <w:rFonts w:hint="eastAsia" w:ascii="仿宋" w:hAnsi="仿宋" w:eastAsia="仿宋" w:cs="仿宋"/>
          <w:spacing w:val="0"/>
          <w:w w:val="100"/>
          <w:sz w:val="32"/>
          <w:szCs w:val="32"/>
          <w:u w:val="single"/>
          <w:lang w:val="en-US" w:eastAsia="zh-CN"/>
        </w:rPr>
        <w:t>一、当事人在购进两台口腔观察仪时未查验供货者的资质和医疗器械的合格证明文件及建立进货查验记录制度的行为，违反《医疗器械监督管理条例》第四十五条第一款“使用单位购进医疗器械时，应当查验供货者的资质和医疗医疗器械的合格证明文件，建立进货查验记录制度”的规定，构成未建立进货查验记录制度的违法行为。</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二、当事人使用超过使用期限的口腔观察仪的行为，违反《医疗器械监督管理条例》第五十五条“使用单位不得经营、使用未依法注册或者备案、无合格证明文件以及过期、失效、淘汰的医疗器械”的规定，构成使用过期医疗器械的违法行为。</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鉴于当事人积极配合药品监督管理部门调查并主动提供证据材料的，依据《福建省药品监管行政处罚裁量适用细则》第十一条第一款第二项的规定，参照《福建省医疗器械行政处罚裁量基准（试行）QX-13的规定，建议对当事人予以从轻行政处罚。</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综上，当事人上述行为违反了</w:t>
      </w:r>
      <w:r>
        <w:rPr>
          <w:rFonts w:hint="eastAsia" w:ascii="仿宋" w:hAnsi="仿宋" w:eastAsia="仿宋" w:cs="仿宋"/>
          <w:spacing w:val="0"/>
          <w:w w:val="100"/>
          <w:sz w:val="32"/>
          <w:szCs w:val="32"/>
          <w:u w:val="single"/>
        </w:rPr>
        <w:t xml:space="preserve"> 《医疗器械监督管理条例》第四十五条第一款</w:t>
      </w:r>
      <w:r>
        <w:rPr>
          <w:rFonts w:hint="eastAsia" w:ascii="仿宋" w:hAnsi="仿宋" w:eastAsia="仿宋" w:cs="仿宋"/>
          <w:spacing w:val="0"/>
          <w:w w:val="100"/>
          <w:sz w:val="32"/>
          <w:szCs w:val="32"/>
          <w:u w:val="single"/>
          <w:lang w:eastAsia="zh-CN"/>
        </w:rPr>
        <w:t>和</w:t>
      </w:r>
      <w:r>
        <w:rPr>
          <w:rFonts w:hint="eastAsia" w:ascii="仿宋" w:hAnsi="仿宋" w:eastAsia="仿宋" w:cs="仿宋"/>
          <w:spacing w:val="0"/>
          <w:w w:val="100"/>
          <w:sz w:val="32"/>
          <w:szCs w:val="32"/>
          <w:u w:val="single"/>
        </w:rPr>
        <w:t xml:space="preserve">《医疗器械监督管理条例》第五十五条 </w:t>
      </w:r>
      <w:r>
        <w:rPr>
          <w:rFonts w:hint="eastAsia" w:ascii="仿宋" w:hAnsi="仿宋" w:eastAsia="仿宋" w:cs="仿宋"/>
          <w:spacing w:val="0"/>
          <w:w w:val="100"/>
          <w:sz w:val="32"/>
          <w:szCs w:val="32"/>
          <w:u w:val="single"/>
          <w:lang w:eastAsia="zh-CN"/>
        </w:rPr>
        <w:t>，</w:t>
      </w:r>
      <w:r>
        <w:rPr>
          <w:rFonts w:hint="eastAsia" w:ascii="仿宋" w:hAnsi="仿宋" w:eastAsia="仿宋" w:cs="仿宋"/>
          <w:spacing w:val="0"/>
          <w:w w:val="100"/>
          <w:sz w:val="32"/>
          <w:szCs w:val="32"/>
        </w:rPr>
        <w:t xml:space="preserve"> 依据</w:t>
      </w:r>
      <w:r>
        <w:rPr>
          <w:rFonts w:hint="eastAsia" w:ascii="仿宋" w:hAnsi="仿宋" w:eastAsia="仿宋" w:cs="仿宋"/>
          <w:spacing w:val="0"/>
          <w:w w:val="100"/>
          <w:sz w:val="32"/>
          <w:szCs w:val="32"/>
          <w:u w:val="single"/>
        </w:rPr>
        <w:t xml:space="preserve">  《医疗器械监督管理条例》第八十九条第三项</w:t>
      </w:r>
      <w:r>
        <w:rPr>
          <w:rFonts w:hint="eastAsia" w:ascii="仿宋" w:hAnsi="仿宋" w:eastAsia="仿宋" w:cs="仿宋"/>
          <w:spacing w:val="0"/>
          <w:w w:val="100"/>
          <w:sz w:val="32"/>
          <w:szCs w:val="32"/>
          <w:u w:val="single"/>
          <w:lang w:eastAsia="zh-CN"/>
        </w:rPr>
        <w:t>和</w:t>
      </w:r>
      <w:r>
        <w:rPr>
          <w:rFonts w:hint="eastAsia" w:ascii="仿宋" w:hAnsi="仿宋" w:eastAsia="仿宋" w:cs="仿宋"/>
          <w:spacing w:val="0"/>
          <w:w w:val="100"/>
          <w:sz w:val="32"/>
          <w:szCs w:val="32"/>
          <w:u w:val="single"/>
        </w:rPr>
        <w:t xml:space="preserve">《医疗器械监督管理条例》第八十六条第三项  </w:t>
      </w:r>
      <w:r>
        <w:rPr>
          <w:rFonts w:hint="eastAsia" w:ascii="仿宋" w:hAnsi="仿宋" w:eastAsia="仿宋" w:cs="仿宋"/>
          <w:spacing w:val="0"/>
          <w:w w:val="100"/>
          <w:sz w:val="32"/>
          <w:szCs w:val="32"/>
        </w:rPr>
        <w:t>，现责令当事人</w:t>
      </w:r>
      <w:r>
        <w:rPr>
          <w:rFonts w:hint="eastAsia" w:ascii="仿宋" w:hAnsi="仿宋" w:eastAsia="仿宋" w:cs="仿宋"/>
          <w:spacing w:val="0"/>
          <w:w w:val="100"/>
          <w:sz w:val="32"/>
          <w:szCs w:val="32"/>
          <w:lang w:val="en-US" w:eastAsia="zh-CN"/>
        </w:rPr>
        <w:t>7日内</w:t>
      </w:r>
      <w:r>
        <w:rPr>
          <w:rFonts w:hint="eastAsia" w:ascii="仿宋" w:hAnsi="仿宋" w:eastAsia="仿宋" w:cs="仿宋"/>
          <w:spacing w:val="0"/>
          <w:w w:val="100"/>
          <w:sz w:val="32"/>
          <w:szCs w:val="32"/>
        </w:rPr>
        <w:t>改正上述违法行为，并决定处罚如下：</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1</w:t>
      </w:r>
      <w:r>
        <w:rPr>
          <w:rFonts w:hint="eastAsia" w:ascii="仿宋" w:hAnsi="仿宋" w:eastAsia="仿宋" w:cs="仿宋"/>
          <w:spacing w:val="0"/>
          <w:w w:val="100"/>
          <w:sz w:val="32"/>
          <w:szCs w:val="32"/>
          <w:lang w:val="en-US" w:eastAsia="zh-CN"/>
        </w:rPr>
        <w:t>.警告</w:t>
      </w:r>
      <w:r>
        <w:rPr>
          <w:rFonts w:hint="eastAsia" w:ascii="仿宋" w:hAnsi="仿宋" w:eastAsia="仿宋" w:cs="仿宋"/>
          <w:spacing w:val="0"/>
          <w:w w:val="10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2．没收超过使用期限的口腔观察仪（型号规格：HM368）2台；</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lang w:val="en-US" w:eastAsia="zh-CN"/>
        </w:rPr>
        <w:t>3</w:t>
      </w:r>
      <w:r>
        <w:rPr>
          <w:rFonts w:hint="eastAsia" w:ascii="仿宋" w:hAnsi="仿宋" w:eastAsia="仿宋" w:cs="仿宋"/>
          <w:spacing w:val="0"/>
          <w:w w:val="100"/>
          <w:sz w:val="32"/>
          <w:szCs w:val="32"/>
        </w:rPr>
        <w:t>.处以罚款贰万壹仟元（21000元）。</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以上款项合计贰万壹仟元。当事人应当在接到本行政处罚决定书之日起十五日内，持“福建省政府非税收入缴款通知书”到银行缴纳罚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冻结的存款、汇款划拨抵缴罚款；（三）根据法律规定，采取其他行政强制执行方式；（四）依照《中华人民共和国行政强制法》的规定申请人民法院强制执行。</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 xml:space="preserve">如不服本处罚决定，可在接到本处罚决定书之日起六十日内向晋江市人民政府申请行政复议，也可以在6个月内依法向泉州市洛江区人民法院提起行政诉讼。当事人申请行政复议或者提起行政诉讼期间，行政处罚不停止执行，法律、法规、规章另有规定的，从其规定。      </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20" w:firstLineChars="200"/>
        <w:jc w:val="both"/>
        <w:textAlignment w:val="baseline"/>
        <w:rPr>
          <w:rFonts w:ascii="楷体" w:hAnsi="楷体" w:eastAsia="楷体" w:cs="楷体"/>
          <w:color w:val="231F20"/>
          <w:spacing w:val="0"/>
          <w:w w:val="100"/>
          <w:sz w:val="31"/>
          <w:szCs w:val="31"/>
          <w14:textOutline w14:w="5626" w14:cap="sq" w14:cmpd="sng" w14:algn="ctr">
            <w14:solidFill>
              <w14:srgbClr w14:val="231F20"/>
            </w14:solidFill>
            <w14:prstDash w14:val="solid"/>
            <w14:bevel/>
          </w14:textOutline>
        </w:rPr>
      </w:pPr>
    </w:p>
    <w:p>
      <w:pPr>
        <w:spacing w:line="279" w:lineRule="auto"/>
        <w:rPr>
          <w:rFonts w:ascii="Microsoft JhengHei"/>
          <w:spacing w:val="0"/>
          <w:w w:val="100"/>
        </w:rPr>
      </w:pPr>
    </w:p>
    <w:p>
      <w:pPr>
        <w:spacing w:line="279" w:lineRule="auto"/>
        <w:rPr>
          <w:rFonts w:ascii="Microsoft JhengHei"/>
          <w:spacing w:val="0"/>
          <w:w w:val="100"/>
        </w:rPr>
      </w:pPr>
    </w:p>
    <w:p>
      <w:pPr>
        <w:spacing w:line="279" w:lineRule="auto"/>
        <w:rPr>
          <w:rFonts w:hint="default" w:ascii="Microsoft JhengHei" w:eastAsia="宋体"/>
          <w:color w:val="FF0000"/>
          <w:spacing w:val="0"/>
          <w:w w:val="100"/>
          <w:lang w:val="en-US" w:eastAsia="zh-CN"/>
        </w:rPr>
      </w:pPr>
      <w:bookmarkStart w:id="0" w:name="thts1"/>
      <w:r>
        <w:rPr>
          <w:rFonts w:ascii="仿宋" w:hAnsi="仿宋" w:eastAsia="仿宋" w:cs="仿宋"/>
          <w:sz w:val="32"/>
        </w:rPr>
        <w:t xml:space="preserve"> </w:t>
      </w:r>
      <w:bookmarkEnd w:id="0"/>
    </w:p>
    <w:p>
      <w:pPr>
        <w:keepNext w:val="0"/>
        <w:keepLines w:val="0"/>
        <w:pageBreakBefore w:val="0"/>
        <w:widowControl/>
        <w:tabs>
          <w:tab w:val="left" w:pos="5667"/>
        </w:tabs>
        <w:kinsoku w:val="0"/>
        <w:wordWrap w:val="0"/>
        <w:overflowPunct/>
        <w:topLinePunct w:val="0"/>
        <w:autoSpaceDE w:val="0"/>
        <w:autoSpaceDN w:val="0"/>
        <w:bidi/>
        <w:adjustRightInd w:val="0"/>
        <w:snapToGrid w:val="0"/>
        <w:spacing w:line="560" w:lineRule="exact"/>
        <w:ind w:left="0" w:leftChars="0" w:right="840" w:rightChars="400" w:firstLine="0" w:firstLineChars="0"/>
        <w:jc w:val="left"/>
        <w:textAlignment w:val="baseline"/>
        <w:rPr>
          <w:rFonts w:hint="eastAsia" w:ascii="仿宋" w:hAnsi="仿宋" w:eastAsia="仿宋" w:cs="仿宋"/>
          <w:spacing w:val="0"/>
          <w:w w:val="100"/>
          <w:sz w:val="32"/>
          <w:szCs w:val="32"/>
          <w:lang w:val="en-US" w:eastAsia="zh-CN"/>
        </w:rPr>
      </w:pPr>
      <w:r>
        <w:rPr>
          <w:rFonts w:hint="eastAsia" w:ascii="仿宋" w:hAnsi="仿宋" w:eastAsia="仿宋" w:cs="仿宋"/>
          <w:spacing w:val="0"/>
          <w:w w:val="100"/>
          <w:sz w:val="32"/>
          <w:szCs w:val="32"/>
          <w:lang w:val="en-US" w:eastAsia="zh-CN"/>
        </w:rPr>
        <w:t>晋江市市场监督管理局</w:t>
      </w:r>
      <w:r>
        <w:rPr>
          <w:rFonts w:ascii="仿宋" w:hAnsi="仿宋" w:eastAsia="仿宋" w:cs="仿宋"/>
          <w:sz w:val="32"/>
        </w:rPr>
        <w:t xml:space="preserve">   </w:t>
      </w:r>
    </w:p>
    <w:p>
      <w:pPr>
        <w:keepNext w:val="0"/>
        <w:keepLines w:val="0"/>
        <w:pageBreakBefore w:val="0"/>
        <w:widowControl/>
        <w:tabs>
          <w:tab w:val="left" w:pos="5667"/>
        </w:tabs>
        <w:kinsoku w:val="0"/>
        <w:wordWrap/>
        <w:overflowPunct/>
        <w:topLinePunct w:val="0"/>
        <w:autoSpaceDE w:val="0"/>
        <w:autoSpaceDN w:val="0"/>
        <w:bidi/>
        <w:adjustRightInd w:val="0"/>
        <w:snapToGrid w:val="0"/>
        <w:spacing w:line="40" w:lineRule="exact"/>
        <w:ind w:left="0" w:leftChars="0" w:right="0" w:firstLine="1650" w:firstLineChars="1500"/>
        <w:jc w:val="left"/>
        <w:textAlignment w:val="baseline"/>
        <w:rPr>
          <w:rFonts w:hint="default" w:ascii="仿宋" w:hAnsi="仿宋" w:eastAsia="仿宋" w:cs="仿宋"/>
          <w:spacing w:val="0"/>
          <w:w w:val="100"/>
          <w:sz w:val="32"/>
          <w:szCs w:val="32"/>
          <w:lang w:val="en-US" w:eastAsia="zh-CN"/>
        </w:rPr>
      </w:pPr>
      <w:r>
        <w:rPr>
          <w:rFonts w:ascii="仿宋" w:hAnsi="仿宋" w:eastAsia="仿宋" w:cs="仿宋"/>
          <w:color w:val="FFFFFF" w:themeColor="background1"/>
          <w:spacing w:val="0"/>
          <w:w w:val="100"/>
          <w:sz w:val="11"/>
          <w:szCs w:val="11"/>
          <w14:textFill>
            <w14:solidFill>
              <w14:schemeClr w14:val="bg1"/>
            </w14:solidFill>
          </w14:textFill>
        </w:rPr>
        <w:t>（</w:t>
      </w:r>
      <w:r>
        <w:rPr>
          <w:rFonts w:hint="eastAsia" w:ascii="仿宋" w:hAnsi="仿宋" w:eastAsia="仿宋" w:cs="仿宋"/>
          <w:color w:val="FFFFFF" w:themeColor="background1"/>
          <w:spacing w:val="0"/>
          <w:w w:val="100"/>
          <w:sz w:val="11"/>
          <w:szCs w:val="11"/>
          <w:lang w:eastAsia="zh-CN"/>
          <w14:textFill>
            <w14:solidFill>
              <w14:schemeClr w14:val="bg1"/>
            </w14:solidFill>
          </w14:textFill>
        </w:rPr>
        <w:t>sealdwy</w:t>
      </w:r>
      <w:r>
        <w:rPr>
          <w:rFonts w:ascii="仿宋" w:hAnsi="仿宋" w:eastAsia="仿宋" w:cs="仿宋"/>
          <w:color w:val="FFFFFF" w:themeColor="background1"/>
          <w:spacing w:val="0"/>
          <w:w w:val="100"/>
          <w:sz w:val="11"/>
          <w:szCs w:val="11"/>
          <w14:textFill>
            <w14:solidFill>
              <w14:schemeClr w14:val="bg1"/>
            </w14:solidFill>
          </w14:textFill>
        </w:rPr>
        <w:t>）</w:t>
      </w:r>
      <w:r>
        <w:rPr>
          <w:rFonts w:ascii="仿宋" w:hAnsi="仿宋" w:eastAsia="仿宋" w:cs="仿宋"/>
          <w:color w:val="000000" w:themeColor="text1"/>
          <w:spacing w:val="0"/>
          <w:w w:val="100"/>
          <w:sz w:val="21"/>
          <w:szCs w:val="21"/>
          <w14:textFill>
            <w14:solidFill>
              <w14:schemeClr w14:val="tx1"/>
            </w14:solidFill>
          </w14:textFill>
        </w:rPr>
        <w:t xml:space="preserve"> </w:t>
      </w:r>
    </w:p>
    <w:p>
      <w:pPr>
        <w:keepNext w:val="0"/>
        <w:keepLines w:val="0"/>
        <w:pageBreakBefore w:val="0"/>
        <w:widowControl/>
        <w:kinsoku w:val="0"/>
        <w:wordWrap w:val="0"/>
        <w:overflowPunct/>
        <w:topLinePunct w:val="0"/>
        <w:autoSpaceDE w:val="0"/>
        <w:autoSpaceDN w:val="0"/>
        <w:bidi/>
        <w:adjustRightInd w:val="0"/>
        <w:snapToGrid w:val="0"/>
        <w:spacing w:line="560" w:lineRule="exact"/>
        <w:ind w:right="840" w:rightChars="400" w:firstLine="0" w:firstLineChars="0"/>
        <w:jc w:val="left"/>
        <w:textAlignment w:val="baseline"/>
        <w:rPr>
          <w:rFonts w:hint="default" w:ascii="仿宋" w:hAnsi="仿宋" w:eastAsia="仿宋" w:cs="仿宋"/>
          <w:spacing w:val="0"/>
          <w:w w:val="100"/>
          <w:sz w:val="32"/>
          <w:szCs w:val="32"/>
          <w:lang w:val="en-US" w:eastAsia="zh-CN"/>
        </w:rPr>
      </w:pPr>
      <w:r>
        <w:rPr>
          <w:rFonts w:hint="eastAsia" w:ascii="仿宋" w:hAnsi="仿宋" w:eastAsia="仿宋" w:cs="仿宋"/>
          <w:spacing w:val="0"/>
          <w:w w:val="100"/>
          <w:sz w:val="32"/>
          <w:szCs w:val="32"/>
          <w:lang w:val="en-US" w:eastAsia="zh-CN"/>
        </w:rPr>
        <w:t>2024年09月18日</w:t>
      </w:r>
      <w:r>
        <w:rPr>
          <w:rFonts w:ascii="仿宋" w:hAnsi="仿宋" w:eastAsia="仿宋" w:cs="仿宋"/>
          <w:sz w:val="32"/>
        </w:rPr>
        <w:t xml:space="preserve">       </w:t>
      </w:r>
    </w:p>
    <w:p>
      <w:pPr>
        <w:spacing w:line="279" w:lineRule="auto"/>
        <w:rPr>
          <w:rFonts w:hint="default" w:ascii="Microsoft JhengHei" w:eastAsia="宋体"/>
          <w:color w:val="FF0000"/>
          <w:spacing w:val="0"/>
          <w:w w:val="100"/>
          <w:lang w:val="en-US" w:eastAsia="zh-CN"/>
        </w:rPr>
      </w:pPr>
      <w:bookmarkStart w:id="1" w:name="thts2"/>
      <w:r>
        <w:rPr>
          <w:rFonts w:ascii="仿宋" w:hAnsi="仿宋" w:eastAsia="仿宋" w:cs="仿宋"/>
          <w:sz w:val="32"/>
        </w:rPr>
        <w:t xml:space="preserve"> </w:t>
      </w:r>
      <w:bookmarkEnd w:id="1"/>
    </w:p>
    <w:p>
      <w:pPr>
        <w:spacing w:line="256" w:lineRule="auto"/>
        <w:rPr>
          <w:rFonts w:ascii="Microsoft JhengHei"/>
          <w:spacing w:val="0"/>
          <w:w w:val="100"/>
        </w:rPr>
      </w:pPr>
    </w:p>
    <w:p>
      <w:pPr>
        <w:spacing w:before="105" w:line="183" w:lineRule="auto"/>
        <w:ind w:firstLine="403"/>
        <w:jc w:val="center"/>
        <w:rPr>
          <w:rFonts w:hint="default" w:ascii="黑体" w:hAnsi="黑体" w:eastAsia="黑体" w:cs="黑体"/>
          <w:color w:val="231F20"/>
          <w:spacing w:val="0"/>
          <w:w w:val="100"/>
          <w:sz w:val="32"/>
          <w:szCs w:val="32"/>
          <w:lang w:val="en-US" w:eastAsia="zh-CN"/>
        </w:rPr>
      </w:pPr>
    </w:p>
    <w:p>
      <w:pPr>
        <w:spacing w:before="105" w:line="183" w:lineRule="auto"/>
        <w:ind w:firstLine="403"/>
        <w:jc w:val="center"/>
        <w:rPr>
          <w:rFonts w:ascii="黑体" w:hAnsi="黑体" w:eastAsia="黑体" w:cs="黑体"/>
          <w:color w:val="231F20"/>
          <w:spacing w:val="0"/>
          <w:w w:val="100"/>
          <w:sz w:val="32"/>
          <w:szCs w:val="32"/>
        </w:rPr>
      </w:pPr>
    </w:p>
    <w:p>
      <w:pPr>
        <w:spacing w:before="105" w:line="183" w:lineRule="auto"/>
        <w:ind w:firstLine="403"/>
        <w:jc w:val="center"/>
        <w:rPr>
          <w:rFonts w:hint="eastAsia" w:ascii="仿宋" w:hAnsi="仿宋" w:eastAsia="仿宋" w:cs="仿宋"/>
          <w:b/>
          <w:bCs/>
          <w:spacing w:val="0"/>
          <w:w w:val="100"/>
          <w:sz w:val="28"/>
          <w:szCs w:val="28"/>
          <w:u w:val="none"/>
          <w:lang w:val="en-US" w:eastAsia="zh-CN"/>
        </w:rPr>
      </w:pPr>
      <w:r>
        <w:rPr>
          <w:rFonts w:hint="eastAsia" w:ascii="仿宋" w:hAnsi="仿宋" w:eastAsia="仿宋" w:cs="仿宋"/>
          <w:b/>
          <w:bCs/>
          <w:spacing w:val="0"/>
          <w:w w:val="100"/>
          <w:sz w:val="28"/>
          <w:szCs w:val="28"/>
          <w:u w:val="none"/>
          <w:lang w:val="en-US" w:eastAsia="zh-CN"/>
        </w:rPr>
        <w:t>（市场监督管理部门将依法向社会公开行政处罚决定信息）</w:t>
      </w:r>
    </w:p>
    <w:p>
      <w:pPr>
        <w:spacing w:line="261" w:lineRule="auto"/>
        <w:rPr>
          <w:rFonts w:ascii="Microsoft JhengHei"/>
          <w:spacing w:val="0"/>
          <w:w w:val="100"/>
        </w:rPr>
      </w:pPr>
    </w:p>
    <w:p>
      <w:pPr>
        <w:spacing w:line="261" w:lineRule="auto"/>
        <w:rPr>
          <w:rFonts w:ascii="Microsoft JhengHei"/>
          <w:spacing w:val="0"/>
          <w:w w:val="100"/>
        </w:rPr>
      </w:pPr>
    </w:p>
    <w:p>
      <w:pPr>
        <w:spacing w:line="26" w:lineRule="exact"/>
        <w:textAlignment w:val="center"/>
        <w:rPr>
          <w:spacing w:val="0"/>
          <w:w w:val="100"/>
        </w:rPr>
      </w:pPr>
      <w:r>
        <w:rPr>
          <w:spacing w:val="0"/>
          <w:w w:val="100"/>
        </w:rPr>
        <w:drawing>
          <wp:inline distT="0" distB="0" distL="0" distR="0">
            <wp:extent cx="5550535" cy="15875"/>
            <wp:effectExtent l="0" t="0" r="0" b="0"/>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pPr>
        <w:spacing w:before="106" w:line="183" w:lineRule="auto"/>
        <w:ind w:firstLine="231"/>
        <w:rPr>
          <w:spacing w:val="0"/>
          <w:w w:val="100"/>
        </w:rPr>
      </w:pPr>
      <w:r>
        <w:rPr>
          <w:rFonts w:ascii="仿宋" w:hAnsi="仿宋" w:eastAsia="仿宋" w:cs="仿宋"/>
          <w:spacing w:val="0"/>
          <w:w w:val="100"/>
          <w:sz w:val="32"/>
          <w:szCs w:val="32"/>
        </w:rPr>
        <w:t>本文书一</w:t>
      </w:r>
      <w:r>
        <w:rPr>
          <w:rFonts w:ascii="仿宋" w:hAnsi="仿宋" w:eastAsia="仿宋" w:cs="仿宋"/>
          <w:spacing w:val="0"/>
          <w:w w:val="100"/>
          <w:sz w:val="32"/>
          <w:szCs w:val="32"/>
          <w:u w:val="none"/>
        </w:rPr>
        <w:t>式</w:t>
      </w:r>
      <w:r>
        <w:rPr>
          <w:rFonts w:hint="eastAsia" w:ascii="仿宋" w:hAnsi="仿宋" w:eastAsia="仿宋" w:cs="仿宋"/>
          <w:spacing w:val="0"/>
          <w:w w:val="100"/>
          <w:sz w:val="32"/>
          <w:szCs w:val="32"/>
          <w:u w:val="none"/>
          <w:lang w:val="en-US" w:eastAsia="zh-CN"/>
        </w:rPr>
        <w:t>二</w:t>
      </w:r>
      <w:r>
        <w:rPr>
          <w:rFonts w:ascii="仿宋" w:hAnsi="仿宋" w:eastAsia="仿宋" w:cs="仿宋"/>
          <w:spacing w:val="0"/>
          <w:w w:val="100"/>
          <w:sz w:val="32"/>
          <w:szCs w:val="32"/>
          <w:u w:val="none"/>
        </w:rPr>
        <w:t>份，</w:t>
      </w:r>
      <w:r>
        <w:rPr>
          <w:rFonts w:hint="eastAsia" w:ascii="仿宋" w:hAnsi="仿宋" w:eastAsia="仿宋" w:cs="仿宋"/>
          <w:spacing w:val="0"/>
          <w:w w:val="100"/>
          <w:sz w:val="32"/>
          <w:szCs w:val="32"/>
          <w:u w:val="none"/>
          <w:lang w:val="en-US" w:eastAsia="zh-CN"/>
        </w:rPr>
        <w:t>一</w:t>
      </w:r>
      <w:r>
        <w:rPr>
          <w:rFonts w:ascii="仿宋" w:hAnsi="仿宋" w:eastAsia="仿宋" w:cs="仿宋"/>
          <w:spacing w:val="0"/>
          <w:w w:val="100"/>
          <w:sz w:val="32"/>
          <w:szCs w:val="32"/>
          <w:u w:val="none"/>
        </w:rPr>
        <w:t>份送达，</w:t>
      </w:r>
      <w:r>
        <w:rPr>
          <w:rFonts w:hint="eastAsia" w:ascii="仿宋" w:hAnsi="仿宋" w:eastAsia="仿宋" w:cs="仿宋"/>
          <w:spacing w:val="0"/>
          <w:w w:val="100"/>
          <w:sz w:val="32"/>
          <w:szCs w:val="32"/>
          <w:u w:val="none"/>
          <w:lang w:val="en-US" w:eastAsia="zh-CN"/>
        </w:rPr>
        <w:t>一</w:t>
      </w:r>
      <w:r>
        <w:rPr>
          <w:rFonts w:ascii="仿宋" w:hAnsi="仿宋" w:eastAsia="仿宋" w:cs="仿宋"/>
          <w:spacing w:val="0"/>
          <w:w w:val="100"/>
          <w:sz w:val="32"/>
          <w:szCs w:val="32"/>
          <w:u w:val="none"/>
        </w:rPr>
        <w:t>份归档</w:t>
      </w:r>
      <w:r>
        <w:rPr>
          <w:rFonts w:hint="eastAsia" w:ascii="仿宋" w:hAnsi="仿宋" w:eastAsia="仿宋" w:cs="仿宋"/>
          <w:spacing w:val="0"/>
          <w:w w:val="100"/>
          <w:sz w:val="32"/>
          <w:szCs w:val="32"/>
          <w:u w:val="none"/>
          <w:lang w:eastAsia="zh-CN"/>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30B21"/>
    <w:rsid w:val="0B530B21"/>
    <w:rsid w:val="1FB54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2024-11-29T07:48:00Z</dcterms:created>
  <dc:creator>qzjj-xb01</dc:creator>
  <cp:lastModifiedBy>施婉弘</cp:lastModifiedBy>
  <dcterms:modified xsi:type="dcterms:W3CDTF">2024-12-04T08:05:08Z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2E4AE1CFD2F54B55B37FE6AA5D7AB9DA</vt:lpwstr>
  </property>
</Properties>
</file>